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5E" w:rsidRPr="00385B5E" w:rsidRDefault="00385B5E" w:rsidP="0038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ІНФОРМАЦІЙНА КАРТКА АДМІНІСТРАТИВНОЇ ПОСЛУГИ З ВИДАЧІ ДОЗВОЛУ НА ЗАСТОСУВАННЯ ПРАЦІ ІНОЗЕМЦІВ ТА ОСІБ БЕЗ ГРОМАДЯНСТВА</w:t>
      </w:r>
    </w:p>
    <w:p w:rsidR="00385B5E" w:rsidRPr="00385B5E" w:rsidRDefault="00385B5E" w:rsidP="0038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5B5E" w:rsidRPr="00385B5E" w:rsidRDefault="00385B5E" w:rsidP="0038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Львівський обласний центр зайнятості</w:t>
      </w:r>
    </w:p>
    <w:p w:rsidR="00385B5E" w:rsidRPr="00385B5E" w:rsidRDefault="00385B5E" w:rsidP="0038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301"/>
        <w:gridCol w:w="5573"/>
      </w:tblGrid>
      <w:tr w:rsidR="00385B5E" w:rsidRPr="00385B5E" w:rsidTr="00F24EAB">
        <w:trPr>
          <w:trHeight w:val="44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 w:rsidR="00385B5E" w:rsidRPr="00385B5E" w:rsidTr="00F24EAB">
        <w:trPr>
          <w:trHeight w:val="104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Місцезнаходження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Львівський обласний центр зайнятості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7903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Бортнянського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11а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85B5E" w:rsidRPr="00385B5E" w:rsidTr="00F24EAB">
        <w:trPr>
          <w:trHeight w:val="104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режиму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Понеділок: четвер: 9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- 18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385B5E" w:rsidRPr="00385B5E" w:rsidRDefault="00385B5E" w:rsidP="0038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П’ятниця: 9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  <w:p w:rsidR="00385B5E" w:rsidRPr="00385B5E" w:rsidRDefault="00385B5E" w:rsidP="0038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 перерва: 13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</w:tr>
      <w:tr w:rsidR="00385B5E" w:rsidRPr="00385B5E" w:rsidTr="00F24EAB">
        <w:trPr>
          <w:trHeight w:val="104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Телефон, адреса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веб-сайт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(032) 245-03-13</w:t>
            </w:r>
          </w:p>
          <w:p w:rsidR="00385B5E" w:rsidRPr="00385B5E" w:rsidRDefault="00385B5E" w:rsidP="00385B5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(032) 297-57-95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385B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kanc@locz.</w:t>
              </w:r>
              <w:r w:rsidRPr="00385B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385B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385B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ua</w:t>
              </w:r>
              <w:proofErr w:type="spellEnd"/>
            </w:hyperlink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Web:http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7" w:history="1">
              <w:r w:rsidRPr="00385B5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https://lviv.dcz.gov.ua/</w:t>
              </w:r>
            </w:hyperlink>
          </w:p>
        </w:tc>
      </w:tr>
      <w:tr w:rsidR="00385B5E" w:rsidRPr="00385B5E" w:rsidTr="00F24EAB">
        <w:trPr>
          <w:trHeight w:val="82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Інформація про центри зайнятості та філії Львівського обласного центру зайнятості (надалі – МРЦЗ/філії ЛОЦЗ), </w:t>
            </w: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через як</w:t>
            </w: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</w:t>
            </w: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</w:tr>
      <w:tr w:rsidR="00385B5E" w:rsidRPr="00385B5E" w:rsidTr="00F24EAB">
        <w:trPr>
          <w:trHeight w:val="1163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Місцезнаходження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телефони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Дрогобицький міськрайонний центр 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2100, м"/>
              </w:smartTagPr>
              <w:r w:rsidRPr="00385B5E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82100, м</w:t>
              </w:r>
            </w:smartTag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Дрогобич, вул. Пилипа Орлика, 3а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42-34-72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42-23-89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Самбірський міськрайонний центр зайнятості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81400, м"/>
              </w:smartTagPr>
              <w:r w:rsidRPr="00385B5E">
                <w:rPr>
                  <w:rFonts w:ascii="Times New Roman" w:eastAsia="Times New Roman" w:hAnsi="Times New Roman" w:cs="Times New Roman"/>
                  <w:bCs/>
                  <w:iCs/>
                  <w:color w:val="000000"/>
                  <w:sz w:val="24"/>
                  <w:szCs w:val="24"/>
                  <w:lang w:eastAsia="ru-RU"/>
                </w:rPr>
                <w:t>81400, м</w:t>
              </w:r>
            </w:smartTag>
            <w:r w:rsidRPr="00385B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Самбір, вул.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Шевченка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, 55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(023) 62-20-64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(023) 63-35-60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Стрийський міськрайонний центр 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82400, м. Стрий, вул. 1-го Листопада, 12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55-21-70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57-12-00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Бориславська міська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 центру 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82300,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Борислав,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Шевченка,49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85-07-44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(024) 85-05-56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Моршинська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міська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482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Моршин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Привокзальна, 63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(026) 06-10-25</w:t>
            </w:r>
          </w:p>
        </w:tc>
      </w:tr>
      <w:tr w:rsidR="00385B5E" w:rsidRPr="00385B5E" w:rsidTr="00F24EAB">
        <w:trPr>
          <w:trHeight w:val="1206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міська філія</w:t>
            </w:r>
          </w:p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81652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Новий Розділ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Шевченка,5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12-04-17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Новояворівська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міська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філія</w:t>
            </w:r>
          </w:p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81053, м.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Січових Стрільців,16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:(025) 64-10-96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Стебницька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філія</w:t>
            </w:r>
            <w:proofErr w:type="spellEnd"/>
          </w:p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82172, м.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Стебник, вул.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А.Мельника,6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(024) 44-20-80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Трускавецька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міська філія</w:t>
            </w:r>
          </w:p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2200, м"/>
              </w:smartTagPr>
              <w:r w:rsidRPr="00385B5E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82200, м</w:t>
              </w:r>
            </w:smartTag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Трускавець, вул. В.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Івасюка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(024)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Червоноградськ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міськ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80100,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Червоноград,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Паркова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4а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(024) 93-27-68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Бродівськ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80600,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Броди,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Гончарська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1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64-20-00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Буськ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80500,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Буськ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Петрушевича,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42-18-41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Городоць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81500,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Городок,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Львівська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38в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13-23-58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Жидачівськ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81700,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Жидачів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Шашкевича, 28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93-33-80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Жовківськ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 центру 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80300,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Жовква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Львівська,47а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22-250-28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Золочівськ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80700,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Золочів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Героїв Небесної сотні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7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57-11-08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Кам’янк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Бузьк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80400,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</w:t>
            </w:r>
            <w:proofErr w:type="gram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.К</w:t>
            </w:r>
            <w:proofErr w:type="gram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ам’янка-Бузька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4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42-40-65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Миколаївськ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81600,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Миколаїв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Івана Мазепи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(024) 15-11-86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Мостиськ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81300,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Мостиська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Міцкевича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42-00-13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еремишлянськ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81200,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Перемишляни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Бор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івська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4а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(026) 32-12-55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Пустомитівськ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81100, м.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Пустомити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Глинська,14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02-01-79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Радехівськ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80200,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Радехів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Лесі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Українки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33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52-26-64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Сколівськ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82600,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Сколе,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Братів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Вільшинських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12-00-14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Сокальськ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районн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80000,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Сокаль,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. Св.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Володимира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, 4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(025) 72-80-19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Старосамбірська районна філія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Львівського обласного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зайнятості</w:t>
            </w:r>
            <w:proofErr w:type="spellEnd"/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82000, м.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Старий Самбір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</w:t>
            </w:r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Галицького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128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(023) 82-15-44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Турківська районна філія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82500,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Турка,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Шевченка,2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:(02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93-11-50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Яворівська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районна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філія 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Львівського обласного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центр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зайнятості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81000, м.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Яворів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Шашкевича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, </w:t>
            </w:r>
            <w:r w:rsidRPr="00385B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1а</w:t>
            </w:r>
          </w:p>
          <w:p w:rsidR="00385B5E" w:rsidRPr="00385B5E" w:rsidRDefault="00385B5E" w:rsidP="00385B5E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:(02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92-15-68</w:t>
            </w:r>
          </w:p>
        </w:tc>
      </w:tr>
      <w:tr w:rsidR="00385B5E" w:rsidRPr="00385B5E" w:rsidTr="00F24EAB">
        <w:trPr>
          <w:trHeight w:val="4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385B5E" w:rsidRPr="00385B5E" w:rsidTr="00F24EAB">
        <w:trPr>
          <w:trHeight w:val="41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України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зайнятість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85B5E" w:rsidRPr="00385B5E" w:rsidTr="00F24EAB">
        <w:trPr>
          <w:trHeight w:val="41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Кабінету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Міністрів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Постанова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Кабінету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Міністрів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від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15.11.2017 року № 858 «</w:t>
            </w:r>
            <w:bookmarkStart w:id="0" w:name="n3"/>
            <w:bookmarkEnd w:id="0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форм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заяв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отримання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роботодавцем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продовження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строку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дії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внесення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змін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»,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із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змінами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</w:tc>
      </w:tr>
      <w:tr w:rsidR="00385B5E" w:rsidRPr="00385B5E" w:rsidTr="00F24EAB">
        <w:trPr>
          <w:trHeight w:val="47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385B5E" w:rsidRPr="00385B5E" w:rsidTr="00F24EAB">
        <w:trPr>
          <w:trHeight w:val="55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роботодавця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представника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таких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міжнародними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договорами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згода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обов’язковість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Верховною Радою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найманих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відряджених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внутрішньокорпоративних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цесіонаріїв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стосовно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біженцем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особою, яка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особи,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подали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та особи,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оскаржують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відмову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високооплачуваних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професіоналів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засновників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та/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бенефіціарів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контролерів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випускників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входять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сотні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світових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рейтингах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переліку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Кабінетом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Міністрів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385B5E" w:rsidRPr="00385B5E" w:rsidRDefault="00385B5E" w:rsidP="00385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IT-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професіоналів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385B5E" w:rsidRPr="00385B5E" w:rsidRDefault="00385B5E" w:rsidP="00385B5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гіг-спеціалістів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42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1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Закону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зайнятість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». </w:t>
            </w:r>
          </w:p>
        </w:tc>
      </w:tr>
      <w:tr w:rsidR="00385B5E" w:rsidRPr="00385B5E" w:rsidTr="00F24EAB">
        <w:trPr>
          <w:trHeight w:val="34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роботодавець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подає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385B5E" w:rsidRPr="00385B5E" w:rsidRDefault="00385B5E" w:rsidP="0038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50" w:line="240" w:lineRule="auto"/>
              <w:ind w:left="341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Кабінетом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Міністрів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15.11.2017 року № 858,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якій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роботодавець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підтверджує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посада,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якій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застосовуватиметься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виконуватиме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надаватиме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гіг-спеціаліст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пов’язані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належністю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не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допуску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таємниці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bookmarkStart w:id="1" w:name="25"/>
            <w:bookmarkStart w:id="2" w:name="26"/>
            <w:bookmarkEnd w:id="1"/>
            <w:bookmarkEnd w:id="2"/>
          </w:p>
          <w:p w:rsidR="00385B5E" w:rsidRPr="00385B5E" w:rsidRDefault="00385B5E" w:rsidP="0038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50" w:line="24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копії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сторінок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паспортного документа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особи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особистими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разом з перекладом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українську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засвідченим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установленому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порядку;</w:t>
            </w:r>
            <w:bookmarkStart w:id="3" w:name="27"/>
            <w:bookmarkEnd w:id="3"/>
          </w:p>
          <w:p w:rsidR="00385B5E" w:rsidRPr="00385B5E" w:rsidRDefault="00385B5E" w:rsidP="0038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50" w:line="24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кольорову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фотокартку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особи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розміром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3,5 x 4,5 сантиметра;</w:t>
            </w:r>
          </w:p>
          <w:p w:rsidR="00385B5E" w:rsidRPr="00385B5E" w:rsidRDefault="00385B5E" w:rsidP="00385B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50" w:line="24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проекту трудового договору (контракту)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гіг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-контракту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посвідчену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роботодавцем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385B5E" w:rsidRPr="00385B5E" w:rsidRDefault="00385B5E" w:rsidP="00385B5E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" w:name="28"/>
            <w:bookmarkStart w:id="5" w:name="32"/>
            <w:bookmarkStart w:id="6" w:name="33"/>
            <w:bookmarkEnd w:id="4"/>
            <w:bookmarkEnd w:id="5"/>
            <w:bookmarkEnd w:id="6"/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Роботодавець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працевлаштування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окремих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додатково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подає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385B5E" w:rsidRPr="00385B5E" w:rsidRDefault="00385B5E" w:rsidP="00385B5E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7" w:name="34"/>
            <w:bookmarkEnd w:id="7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1) </w:t>
            </w:r>
            <w:bookmarkStart w:id="8" w:name="35"/>
            <w:bookmarkEnd w:id="8"/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випускників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університетів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входять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першої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сотні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proofErr w:type="gram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</w:t>
            </w:r>
            <w:proofErr w:type="gram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ітових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рейтингах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університетів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,-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диплома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університету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установленому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порядку;</w:t>
            </w:r>
          </w:p>
          <w:p w:rsidR="00385B5E" w:rsidRPr="00385B5E" w:rsidRDefault="00385B5E" w:rsidP="00385B5E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2) </w:t>
            </w:r>
            <w:bookmarkStart w:id="9" w:name="36"/>
            <w:bookmarkEnd w:id="9"/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творчих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професій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нотаріально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засвідчені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копії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ідентифікують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об’єкт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авторського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права та/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суміжних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 автора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засвідчують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авторство 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(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авторське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право);</w:t>
            </w:r>
          </w:p>
          <w:p w:rsidR="00385B5E" w:rsidRPr="00385B5E" w:rsidRDefault="00385B5E" w:rsidP="00385B5E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3) </w:t>
            </w:r>
            <w:bookmarkStart w:id="10" w:name="37"/>
            <w:bookmarkEnd w:id="10"/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відряджених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договору (контракту),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українським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суб’єктами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роботодавцем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певного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385B5E" w:rsidRPr="00385B5E" w:rsidRDefault="00385B5E" w:rsidP="00385B5E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внутрішньо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корпоративних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цесіонаріїв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proofErr w:type="gram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переведення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роботу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контракту,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суб’єктом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переведення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роботу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визначенням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85B5E" w:rsidRPr="00385B5E" w:rsidRDefault="00385B5E" w:rsidP="00385B5E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стосовно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біженцем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особою, яка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-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біженцем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особою, яка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звернення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захистом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6)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подали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оскаржують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відмову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звернення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визнанням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Документи подаються особисто суб’єктом звернення-роботодавцем (у тому числі уповноваженим представником)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Платна.</w:t>
            </w:r>
          </w:p>
          <w:p w:rsidR="00385B5E" w:rsidRPr="00385B5E" w:rsidRDefault="00385B5E" w:rsidP="00385B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Видача дозволу на застосування праці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здійснюється безоплатно.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вноситься плата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зайнятість населення»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Розмір та порядок внесення плати за адміністративну послугу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плати за видачу дозволу становить:</w:t>
            </w:r>
          </w:p>
          <w:p w:rsidR="00385B5E" w:rsidRPr="00385B5E" w:rsidRDefault="00385B5E" w:rsidP="00385B5E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дозволів, що видаються на строк від одного до трьох років – шість прожиткових мінімумів для працездатних осіб, встановлених законом на 1 січня календарного року, в якому роботодавцем подані документи;</w:t>
            </w:r>
          </w:p>
          <w:p w:rsidR="00385B5E" w:rsidRPr="00385B5E" w:rsidRDefault="00385B5E" w:rsidP="00385B5E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для дозволів, що видаються на строк від шести місяців до одного року включно – чотири прожиткових мінімумів для працездатних осіб,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встановлених законом на 1 січня календарного року, в якому роботодавцем подані документи;</w:t>
            </w:r>
          </w:p>
          <w:p w:rsidR="00385B5E" w:rsidRPr="00385B5E" w:rsidRDefault="00385B5E" w:rsidP="00385B5E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для дозволів, що видаються на строк до шести місяців – два прожиткових мінімумів для працездатних осіб, встановлених законом на 1 січня календарного року, в якому роботодавцем подані документи.</w:t>
            </w:r>
          </w:p>
          <w:p w:rsidR="00385B5E" w:rsidRPr="00385B5E" w:rsidRDefault="00385B5E" w:rsidP="00385B5E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Роботодавець вносить плату протягом 10 робочих днів з дня отримання рішення про видачу дозволу, яке надсилається територіальним органом центрального органу виконавчої влади, що реалізує державну політику у сфері зайнятості населення та трудової міграції, поштою з повідомленням про вручення.</w:t>
            </w:r>
            <w:bookmarkStart w:id="11" w:name="n141"/>
            <w:bookmarkStart w:id="12" w:name="n142"/>
            <w:bookmarkEnd w:id="11"/>
            <w:bookmarkEnd w:id="12"/>
          </w:p>
          <w:p w:rsidR="00385B5E" w:rsidRPr="00385B5E" w:rsidRDefault="00385B5E" w:rsidP="00385B5E">
            <w:pPr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Плата за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видачу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продовження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дії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зараховується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до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бюджету Фонду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загальнообов’язкового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державного </w:t>
            </w:r>
            <w:proofErr w:type="spellStart"/>
            <w:proofErr w:type="gram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соц</w:t>
            </w:r>
            <w:proofErr w:type="gram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іального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страхування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випадок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безробіття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 Фонду загальнообов’язкового державного соціального страхування України на випадок безробіття, відкритий у територіальному органі Державної казначейської служби.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7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дня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приймається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видачі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Підстави для зупинення розгляду заяви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Підставою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зупинення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заяви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третьої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статті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42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>8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Закону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зайнятість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є:</w:t>
            </w:r>
          </w:p>
          <w:p w:rsidR="00385B5E" w:rsidRPr="00385B5E" w:rsidRDefault="00385B5E" w:rsidP="00385B5E">
            <w:pPr>
              <w:spacing w:after="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подання документів від імені роботодавця особою, яка не має на це повноважень;</w:t>
            </w:r>
          </w:p>
          <w:p w:rsidR="00385B5E" w:rsidRPr="00385B5E" w:rsidRDefault="00385B5E" w:rsidP="00385B5E">
            <w:pPr>
              <w:spacing w:after="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:rsidR="00385B5E" w:rsidRPr="00385B5E" w:rsidRDefault="00385B5E" w:rsidP="00385B5E">
            <w:pPr>
              <w:spacing w:after="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невідповідність заяви та/або документів, поданих разом із заявою, вимогам, установленим цим Законом, складення заяви не встановленої форми;</w:t>
            </w:r>
          </w:p>
          <w:p w:rsidR="00385B5E" w:rsidRPr="00385B5E" w:rsidRDefault="00385B5E" w:rsidP="00385B5E">
            <w:pPr>
              <w:spacing w:after="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наявність недостовірних даних у заяві або документах, поданих разом із заявою;</w:t>
            </w:r>
          </w:p>
          <w:p w:rsidR="00385B5E" w:rsidRPr="00385B5E" w:rsidRDefault="00385B5E" w:rsidP="00385B5E">
            <w:pPr>
              <w:spacing w:after="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невідповідність умов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Перелік підстав для відмови у видачі дозволу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Підставами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відмову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видачі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іноземців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громадянства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статті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42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>9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Закону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зайнятість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є:</w:t>
            </w:r>
          </w:p>
          <w:p w:rsidR="00385B5E" w:rsidRPr="00385B5E" w:rsidRDefault="00385B5E" w:rsidP="00385B5E">
            <w:pPr>
              <w:shd w:val="clear" w:color="auto" w:fill="FFFFFF"/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не усунення підстав для зупинення розгляду заяви протягом встановленого строку або визнання територіальним органом центрального 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мотивувального листа, поданого роботодавцем, необґрунтованим;</w:t>
            </w:r>
          </w:p>
          <w:p w:rsidR="00385B5E" w:rsidRPr="00385B5E" w:rsidRDefault="00385B5E" w:rsidP="00385B5E">
            <w:pPr>
              <w:shd w:val="clear" w:color="auto" w:fill="FFFFFF"/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подання заяви та документів для продовження дії дозволу з порушенням строку, встановленого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частиною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другою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статті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42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val="ru-RU" w:eastAsia="ru-RU"/>
              </w:rPr>
              <w:t>-</w:t>
            </w:r>
            <w:r w:rsidRPr="00385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val="ru-RU" w:eastAsia="ru-RU"/>
              </w:rPr>
              <w:t>6</w:t>
            </w:r>
            <w:r w:rsidRPr="00385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RU" w:eastAsia="ru-RU"/>
              </w:rPr>
              <w:t> 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Закону України «Про зайнятість населення»;</w:t>
            </w:r>
          </w:p>
          <w:p w:rsidR="00385B5E" w:rsidRPr="00385B5E" w:rsidRDefault="00385B5E" w:rsidP="00385B5E">
            <w:pPr>
              <w:shd w:val="clear" w:color="auto" w:fill="FFFFFF"/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відсутність у Єдиному державному реєстрі юридичних осіб, фізичних осіб-підприємців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роботодавцем.</w:t>
            </w:r>
          </w:p>
        </w:tc>
      </w:tr>
      <w:tr w:rsidR="00385B5E" w:rsidRPr="00385B5E" w:rsidTr="00F24EA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7" w:hanging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дозволу на застосування праці іноземців та осіб без громадянства;</w:t>
            </w:r>
          </w:p>
          <w:p w:rsidR="00385B5E" w:rsidRPr="00385B5E" w:rsidRDefault="00385B5E" w:rsidP="00385B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7" w:hanging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 у видачі дозволу на застосування праці іноземців та осіб без громадянства.</w:t>
            </w:r>
          </w:p>
        </w:tc>
      </w:tr>
      <w:tr w:rsidR="00385B5E" w:rsidRPr="00385B5E" w:rsidTr="00F24EAB">
        <w:trPr>
          <w:trHeight w:val="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60" w:after="60" w:line="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зупинення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заяви: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протягом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двох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робочих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днів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надсилається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копія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цього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повідомленням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вручення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електронною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із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зазначенням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платіжних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реквізитів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внесення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плати,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також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розміщується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офіційному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веб-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сайті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інформація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прийняте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платіжні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реквізити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внесення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плати.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разі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встановлення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наявності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підстав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зупинення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розгляду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не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пізніше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наступного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робочого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дня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приймається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зупинення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розгляду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заяви, в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якому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зазначаються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підстави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для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його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прийняття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Копія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зупинення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розгляду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надсилається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повідомленням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вручення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електронною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не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пізніше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наступного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робочого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дня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після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прийняття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рішення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разі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відмови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видачі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подані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документи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повертаються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(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видаються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особисто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надсилаються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поштовим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відправленням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)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роботодавцю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не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пізніше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наступного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робочого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дня з дня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надходження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роботодавця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заяви про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їх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повернення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Видача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оформленого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бланку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іноземця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обласний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зайнятості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ЦЗ/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ЛОЦЗ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бажання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роботодавця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оформлений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дозвіл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ЦЗ/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філії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ЛОЦЗ</w:t>
            </w:r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де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подані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385B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385B5E" w:rsidRPr="00385B5E" w:rsidRDefault="00385B5E" w:rsidP="0038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6D41A4" w:rsidRDefault="006D41A4" w:rsidP="006D41A4">
      <w:pPr>
        <w:keepNext/>
        <w:keepLines/>
        <w:spacing w:after="240" w:line="240" w:lineRule="auto"/>
        <w:rPr>
          <w:lang w:val="en-US"/>
        </w:rPr>
      </w:pPr>
    </w:p>
    <w:p w:rsidR="006D41A4" w:rsidRDefault="006D41A4" w:rsidP="006D41A4">
      <w:pPr>
        <w:pStyle w:val="a5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  <w:r>
        <w:rPr>
          <w:rFonts w:ascii="Times New Roman" w:hAnsi="Times New Roman"/>
          <w:sz w:val="24"/>
          <w:szCs w:val="24"/>
        </w:rPr>
        <w:br/>
        <w:t>до постанови Кабінету Міністрів України</w:t>
      </w:r>
      <w:r>
        <w:rPr>
          <w:rFonts w:ascii="Times New Roman" w:hAnsi="Times New Roman"/>
          <w:sz w:val="24"/>
          <w:szCs w:val="24"/>
        </w:rPr>
        <w:br/>
        <w:t>від 15 листопада 2017 р. № 858</w:t>
      </w:r>
    </w:p>
    <w:p w:rsidR="006D41A4" w:rsidRDefault="006D41A4" w:rsidP="006D41A4">
      <w:pPr>
        <w:pStyle w:val="a4"/>
        <w:ind w:left="38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6D41A4" w:rsidRDefault="006D41A4" w:rsidP="006D41A4">
      <w:pPr>
        <w:pStyle w:val="a4"/>
        <w:spacing w:before="0"/>
        <w:ind w:left="382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органу, до якого подається заява)</w:t>
      </w:r>
    </w:p>
    <w:p w:rsidR="006D41A4" w:rsidRDefault="006D41A4" w:rsidP="006D41A4">
      <w:pPr>
        <w:pStyle w:val="a4"/>
        <w:ind w:left="38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</w:rPr>
        <w:t>_</w:t>
      </w:r>
    </w:p>
    <w:p w:rsidR="006D41A4" w:rsidRDefault="006D41A4" w:rsidP="006D41A4">
      <w:pPr>
        <w:pStyle w:val="a4"/>
        <w:spacing w:before="0"/>
        <w:ind w:left="382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(повне та скорочене найменування роботодавця </w:t>
      </w:r>
      <w:r>
        <w:rPr>
          <w:rFonts w:ascii="Times New Roman" w:hAnsi="Times New Roman"/>
          <w:sz w:val="20"/>
          <w:lang w:val="ru-RU"/>
        </w:rPr>
        <w:t>-</w:t>
      </w:r>
    </w:p>
    <w:p w:rsidR="006D41A4" w:rsidRDefault="006D41A4" w:rsidP="006D41A4">
      <w:pPr>
        <w:pStyle w:val="a4"/>
        <w:ind w:left="38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D41A4" w:rsidRDefault="006D41A4" w:rsidP="006D41A4">
      <w:pPr>
        <w:pStyle w:val="a4"/>
        <w:spacing w:before="0"/>
        <w:ind w:left="382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юридичної особи або прізвище, ім’я та по батькові фізичної</w:t>
      </w:r>
      <w:r>
        <w:rPr>
          <w:rFonts w:ascii="Times New Roman" w:hAnsi="Times New Roman"/>
          <w:sz w:val="20"/>
        </w:rPr>
        <w:br/>
        <w:t>особи - підприємця)</w:t>
      </w:r>
    </w:p>
    <w:p w:rsidR="006D41A4" w:rsidRDefault="006D41A4" w:rsidP="006D41A4">
      <w:pPr>
        <w:pStyle w:val="a6"/>
        <w:spacing w:before="480"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8"/>
          <w:szCs w:val="28"/>
        </w:rPr>
        <w:br/>
        <w:t>про отримання роботодавцем дозволу на застосування праці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іноземців та осіб без громадянства</w:t>
      </w:r>
    </w:p>
    <w:p w:rsidR="006D41A4" w:rsidRDefault="006D41A4" w:rsidP="006D41A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видати дозвіл на застосування праці _____________</w:t>
      </w:r>
      <w:r>
        <w:rPr>
          <w:rFonts w:ascii="Times New Roman" w:hAnsi="Times New Roman"/>
          <w:sz w:val="24"/>
          <w:szCs w:val="24"/>
          <w:lang w:val="ru-RU"/>
        </w:rPr>
        <w:t>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6D41A4" w:rsidRDefault="006D41A4" w:rsidP="006D41A4">
      <w:pPr>
        <w:pStyle w:val="a4"/>
        <w:spacing w:before="0"/>
        <w:ind w:firstLine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</w:t>
      </w:r>
    </w:p>
    <w:p w:rsidR="006D41A4" w:rsidRDefault="006D41A4" w:rsidP="006D41A4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6D41A4" w:rsidRDefault="006D41A4" w:rsidP="006D41A4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ім’я, по батькові)</w:t>
      </w:r>
    </w:p>
    <w:p w:rsidR="006D41A4" w:rsidRDefault="006D41A4" w:rsidP="006D41A4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6D41A4" w:rsidRDefault="006D41A4" w:rsidP="006D41A4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(громадянство/підданство)</w:t>
      </w:r>
    </w:p>
    <w:p w:rsidR="006D41A4" w:rsidRDefault="006D41A4" w:rsidP="006D41A4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строк 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6D41A4" w:rsidRDefault="006D41A4" w:rsidP="006D41A4">
      <w:pPr>
        <w:pStyle w:val="a4"/>
        <w:spacing w:before="0"/>
        <w:ind w:left="113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(зазначається строк дії дозволу згідно з вимогами статті 42</w:t>
      </w: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Закону України</w:t>
      </w:r>
      <w:r>
        <w:rPr>
          <w:rFonts w:ascii="Times New Roman" w:hAnsi="Times New Roman"/>
          <w:sz w:val="20"/>
        </w:rPr>
        <w:br/>
        <w:t>“Про зайнятість населення”)</w:t>
      </w: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посаді (за професією) ___________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________________________________,</w:t>
      </w:r>
    </w:p>
    <w:p w:rsidR="006D41A4" w:rsidRDefault="006D41A4" w:rsidP="006D41A4">
      <w:pPr>
        <w:pStyle w:val="a4"/>
        <w:spacing w:before="0"/>
        <w:ind w:left="297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(згідно з Національним класифікатором</w:t>
      </w:r>
      <w:r>
        <w:rPr>
          <w:rFonts w:ascii="Times New Roman" w:hAnsi="Times New Roman"/>
          <w:sz w:val="20"/>
        </w:rPr>
        <w:br/>
        <w:t>ДК 003:2010 “Класифікатор професій”)</w:t>
      </w: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який є: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іноземним найманим працівником;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відрядженим іноземним працівником;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внутрішньокорпоративним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цесіонарієм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іноземним високооплачуваним професіоналом;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засновником та/або учасником, та/або </w:t>
      </w:r>
      <w:proofErr w:type="spellStart"/>
      <w:r>
        <w:rPr>
          <w:rFonts w:ascii="Times New Roman" w:hAnsi="Times New Roman"/>
          <w:sz w:val="24"/>
          <w:szCs w:val="24"/>
        </w:rPr>
        <w:t>бенефіціаром</w:t>
      </w:r>
      <w:proofErr w:type="spellEnd"/>
      <w:r>
        <w:rPr>
          <w:rFonts w:ascii="Times New Roman" w:hAnsi="Times New Roman"/>
          <w:sz w:val="24"/>
          <w:szCs w:val="24"/>
        </w:rPr>
        <w:t xml:space="preserve"> (контролером) юридичної особи, утвореної в Україні;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іноземним працівником творчої професії;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іноземцем або особою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st42"/>
          <w:rFonts w:ascii="Times New Roman" w:eastAsia="Calibri" w:hAnsi="Times New Roman"/>
          <w:sz w:val="24"/>
          <w:szCs w:val="24"/>
          <w:lang w:val="x-none" w:eastAsia="uk-UA"/>
        </w:rPr>
        <w:t>особою, яка подала заяву про визнання особою без громадянства, або особою, яка оскаржує рішення про відмову у визнанні особою без громадянства;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іноземним ІТ-професіоналом;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st42"/>
          <w:rFonts w:ascii="Times New Roman" w:eastAsia="Calibri" w:hAnsi="Times New Roman"/>
          <w:sz w:val="24"/>
          <w:szCs w:val="24"/>
          <w:lang w:val="x-none" w:eastAsia="uk-UA"/>
        </w:rPr>
        <w:t>гіг</w:t>
      </w:r>
      <w:proofErr w:type="spellEnd"/>
      <w:r>
        <w:rPr>
          <w:rStyle w:val="st42"/>
          <w:rFonts w:ascii="Times New Roman" w:eastAsia="Calibri" w:hAnsi="Times New Roman"/>
          <w:sz w:val="24"/>
          <w:szCs w:val="24"/>
          <w:lang w:val="x-none" w:eastAsia="uk-UA"/>
        </w:rPr>
        <w:t>-спеціалістом;</w:t>
      </w:r>
    </w:p>
    <w:p w:rsidR="006D41A4" w:rsidRDefault="006D41A4" w:rsidP="006D41A4">
      <w:pPr>
        <w:pStyle w:val="a4"/>
        <w:numPr>
          <w:ilvl w:val="0"/>
          <w:numId w:val="6"/>
        </w:numPr>
        <w:tabs>
          <w:tab w:val="clear" w:pos="720"/>
          <w:tab w:val="num" w:pos="64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випускником вищого навчального закладу, включеного до першої сотні у світовому рейтингу ________</w:t>
      </w:r>
      <w:r>
        <w:rPr>
          <w:rFonts w:ascii="Times New Roman" w:hAnsi="Times New Roman"/>
          <w:sz w:val="24"/>
          <w:szCs w:val="24"/>
          <w:lang w:val="ru-RU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____________________________________.</w:t>
      </w:r>
    </w:p>
    <w:p w:rsidR="006D41A4" w:rsidRDefault="006D41A4" w:rsidP="006D41A4">
      <w:pPr>
        <w:pStyle w:val="a4"/>
        <w:spacing w:before="0"/>
        <w:ind w:firstLine="283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(назва світового рейтингу)</w:t>
      </w:r>
    </w:p>
    <w:p w:rsidR="006D41A4" w:rsidRDefault="006D41A4" w:rsidP="006D41A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Підтверджую, що посада, на якій застосовуватиметься праця іноземця або особи без громадянства, відповідно до законів не пов’язана з належністю до громадянства України та не потребує надання допуску до державної таємниці.</w:t>
      </w:r>
    </w:p>
    <w:p w:rsidR="006D41A4" w:rsidRDefault="006D41A4" w:rsidP="006D41A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 електронної пошти ___________________________________________________</w:t>
      </w:r>
    </w:p>
    <w:p w:rsidR="006D41A4" w:rsidRDefault="006D41A4" w:rsidP="006D41A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виду економічної діяльності згідно з Національним класифікатором ДК 009:2010 “Класифікація видів економічної діяльності” _________________________________________</w:t>
      </w:r>
    </w:p>
    <w:p w:rsidR="006D41A4" w:rsidRDefault="006D41A4" w:rsidP="006D41A4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D41A4" w:rsidRDefault="006D41A4" w:rsidP="006D41A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Місцезнаходження роботодавця - юридичної особи/фізичної особи - підприємця ________________________________________________________________________________</w:t>
      </w:r>
    </w:p>
    <w:p w:rsidR="006D41A4" w:rsidRDefault="006D41A4" w:rsidP="006D41A4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6D41A4" w:rsidRDefault="006D41A4" w:rsidP="006D41A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Контактний телефон _____________</w:t>
      </w:r>
      <w:r>
        <w:rPr>
          <w:rFonts w:ascii="Times New Roman" w:hAnsi="Times New Roman"/>
          <w:sz w:val="24"/>
          <w:szCs w:val="24"/>
          <w:lang w:val="ru-RU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6D41A4" w:rsidRDefault="006D41A4" w:rsidP="006D41A4">
      <w:pPr>
        <w:pStyle w:val="a4"/>
        <w:spacing w:befor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Додаток: на ___ </w:t>
      </w:r>
      <w:proofErr w:type="spellStart"/>
      <w:r>
        <w:rPr>
          <w:rFonts w:ascii="Times New Roman" w:hAnsi="Times New Roman"/>
          <w:sz w:val="24"/>
          <w:szCs w:val="24"/>
        </w:rPr>
        <w:t>арк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41A4" w:rsidRDefault="006D41A4" w:rsidP="006D41A4">
      <w:pPr>
        <w:pStyle w:val="a4"/>
        <w:spacing w:before="48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 20___ р.</w:t>
      </w:r>
    </w:p>
    <w:tbl>
      <w:tblPr>
        <w:tblpPr w:leftFromText="180" w:rightFromText="180" w:vertAnchor="text" w:horzAnchor="page" w:tblpX="4259" w:tblpY="347"/>
        <w:tblW w:w="73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4418"/>
        <w:gridCol w:w="2947"/>
      </w:tblGrid>
      <w:tr w:rsidR="006D41A4" w:rsidTr="00BD5F82">
        <w:trPr>
          <w:trHeight w:val="830"/>
        </w:trPr>
        <w:tc>
          <w:tcPr>
            <w:tcW w:w="29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D41A4" w:rsidRDefault="006D41A4" w:rsidP="00BD5F82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D41A4" w:rsidRDefault="006D41A4" w:rsidP="00BD5F82">
            <w:pPr>
              <w:pStyle w:val="a4"/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 керівника юридичної особи ∕</w:t>
            </w:r>
            <w:r>
              <w:rPr>
                <w:rFonts w:ascii="Times New Roman" w:hAnsi="Times New Roman"/>
                <w:sz w:val="20"/>
              </w:rPr>
              <w:br/>
              <w:t>фізичної особи - підприємця)</w:t>
            </w:r>
          </w:p>
        </w:tc>
        <w:tc>
          <w:tcPr>
            <w:tcW w:w="20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D41A4" w:rsidRDefault="006D41A4" w:rsidP="00BD5F82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6D41A4" w:rsidRDefault="006D41A4" w:rsidP="00BD5F82">
            <w:pPr>
              <w:pStyle w:val="a4"/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6D41A4" w:rsidRDefault="006D41A4" w:rsidP="006D41A4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 (за наявності)</w:t>
      </w: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6D41A4" w:rsidRDefault="006D41A4" w:rsidP="006D41A4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:rsidR="006D41A4" w:rsidRPr="00CB4946" w:rsidRDefault="006D41A4" w:rsidP="006D41A4">
      <w:pPr>
        <w:pStyle w:val="a4"/>
        <w:contextualSpacing/>
        <w:jc w:val="both"/>
      </w:pPr>
      <w:r>
        <w:rPr>
          <w:rStyle w:val="st46"/>
          <w:rFonts w:ascii="Times New Roman" w:hAnsi="Times New Roman"/>
        </w:rPr>
        <w:t xml:space="preserve">{Додаток 1 із змінами, внесеними згідно з Постановами КМ </w:t>
      </w:r>
      <w:r>
        <w:rPr>
          <w:rStyle w:val="st131"/>
          <w:rFonts w:ascii="Times New Roman" w:hAnsi="Times New Roman"/>
          <w:sz w:val="24"/>
        </w:rPr>
        <w:t>№ 1096 від 11.11.2020</w:t>
      </w:r>
      <w:r>
        <w:rPr>
          <w:rStyle w:val="st46"/>
          <w:rFonts w:ascii="Times New Roman" w:hAnsi="Times New Roman"/>
        </w:rPr>
        <w:t xml:space="preserve">, </w:t>
      </w:r>
      <w:r>
        <w:rPr>
          <w:rStyle w:val="st131"/>
          <w:rFonts w:ascii="Times New Roman" w:hAnsi="Times New Roman"/>
          <w:sz w:val="24"/>
        </w:rPr>
        <w:t>№ 13 від 12.01.2022</w:t>
      </w:r>
    </w:p>
    <w:p w:rsidR="006D41A4" w:rsidRPr="006D41A4" w:rsidRDefault="006D41A4" w:rsidP="006D41A4">
      <w:pPr>
        <w:keepNext/>
        <w:keepLines/>
        <w:spacing w:after="240" w:line="240" w:lineRule="auto"/>
        <w:rPr>
          <w:lang w:val="en-US"/>
        </w:rPr>
      </w:pPr>
      <w:bookmarkStart w:id="13" w:name="_GoBack"/>
      <w:bookmarkEnd w:id="13"/>
    </w:p>
    <w:sectPr w:rsidR="006D41A4" w:rsidRPr="006D4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5.75pt" o:bullet="t">
        <v:imagedata r:id="rId1" o:title=""/>
      </v:shape>
    </w:pict>
  </w:numPicBullet>
  <w:abstractNum w:abstractNumId="0">
    <w:nsid w:val="0B2B12E0"/>
    <w:multiLevelType w:val="hybridMultilevel"/>
    <w:tmpl w:val="8BACA67A"/>
    <w:lvl w:ilvl="0" w:tplc="0422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>
    <w:nsid w:val="2C0629F5"/>
    <w:multiLevelType w:val="hybridMultilevel"/>
    <w:tmpl w:val="AC2A5912"/>
    <w:lvl w:ilvl="0" w:tplc="74CA0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E0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4E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C6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E0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D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E7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64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6E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8C62410"/>
    <w:multiLevelType w:val="hybridMultilevel"/>
    <w:tmpl w:val="6B0AC2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34340"/>
    <w:multiLevelType w:val="hybridMultilevel"/>
    <w:tmpl w:val="550E87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92227"/>
    <w:multiLevelType w:val="hybridMultilevel"/>
    <w:tmpl w:val="379CC150"/>
    <w:lvl w:ilvl="0" w:tplc="4208987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5E"/>
    <w:rsid w:val="00385B5E"/>
    <w:rsid w:val="006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EC4B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1A4"/>
    <w:pPr>
      <w:ind w:left="720"/>
      <w:contextualSpacing/>
    </w:pPr>
  </w:style>
  <w:style w:type="paragraph" w:customStyle="1" w:styleId="a4">
    <w:name w:val="Нормальний текст"/>
    <w:basedOn w:val="a"/>
    <w:rsid w:val="006D41A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Шапка документу"/>
    <w:basedOn w:val="a"/>
    <w:rsid w:val="006D41A4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6D41A4"/>
    <w:rPr>
      <w:i/>
      <w:iCs/>
      <w:color w:val="0000FF"/>
    </w:rPr>
  </w:style>
  <w:style w:type="character" w:customStyle="1" w:styleId="st46">
    <w:name w:val="st46"/>
    <w:uiPriority w:val="99"/>
    <w:rsid w:val="006D41A4"/>
    <w:rPr>
      <w:i/>
      <w:iCs/>
      <w:color w:val="000000"/>
    </w:rPr>
  </w:style>
  <w:style w:type="paragraph" w:customStyle="1" w:styleId="a6">
    <w:name w:val="Назва документа"/>
    <w:basedOn w:val="a"/>
    <w:next w:val="a4"/>
    <w:rsid w:val="006D41A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42">
    <w:name w:val="st42"/>
    <w:uiPriority w:val="99"/>
    <w:rsid w:val="006D41A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1A4"/>
    <w:pPr>
      <w:ind w:left="720"/>
      <w:contextualSpacing/>
    </w:pPr>
  </w:style>
  <w:style w:type="paragraph" w:customStyle="1" w:styleId="a4">
    <w:name w:val="Нормальний текст"/>
    <w:basedOn w:val="a"/>
    <w:rsid w:val="006D41A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Шапка документу"/>
    <w:basedOn w:val="a"/>
    <w:rsid w:val="006D41A4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6D41A4"/>
    <w:rPr>
      <w:i/>
      <w:iCs/>
      <w:color w:val="0000FF"/>
    </w:rPr>
  </w:style>
  <w:style w:type="character" w:customStyle="1" w:styleId="st46">
    <w:name w:val="st46"/>
    <w:uiPriority w:val="99"/>
    <w:rsid w:val="006D41A4"/>
    <w:rPr>
      <w:i/>
      <w:iCs/>
      <w:color w:val="000000"/>
    </w:rPr>
  </w:style>
  <w:style w:type="paragraph" w:customStyle="1" w:styleId="a6">
    <w:name w:val="Назва документа"/>
    <w:basedOn w:val="a"/>
    <w:next w:val="a4"/>
    <w:rsid w:val="006D41A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42">
    <w:name w:val="st42"/>
    <w:uiPriority w:val="99"/>
    <w:rsid w:val="006D41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viv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locz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11244</Words>
  <Characters>6410</Characters>
  <Application>Microsoft Office Word</Application>
  <DocSecurity>0</DocSecurity>
  <Lines>53</Lines>
  <Paragraphs>35</Paragraphs>
  <ScaleCrop>false</ScaleCrop>
  <Company/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chance3</dc:creator>
  <cp:keywords/>
  <dc:description/>
  <cp:lastModifiedBy>inspek6</cp:lastModifiedBy>
  <cp:revision>2</cp:revision>
  <dcterms:created xsi:type="dcterms:W3CDTF">2021-12-29T09:41:00Z</dcterms:created>
  <dcterms:modified xsi:type="dcterms:W3CDTF">2022-01-19T15:00:00Z</dcterms:modified>
</cp:coreProperties>
</file>